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88" w:rsidRDefault="00F82DCF" w:rsidP="00371488">
      <w:hyperlink r:id="rId4" w:history="1">
        <w:r w:rsidR="00371488" w:rsidRPr="00985C8C">
          <w:rPr>
            <w:rStyle w:val="Hyperlink"/>
            <w:lang w:val="en-US"/>
          </w:rPr>
          <w:t>https://diaonline.com.br/coluna/amyr-klink-na-vitrine-do-conhecimento/</w:t>
        </w:r>
      </w:hyperlink>
    </w:p>
    <w:p w:rsidR="00371488" w:rsidRDefault="00371488">
      <w:pPr>
        <w:rPr>
          <w:noProof/>
          <w:lang w:eastAsia="pt-BR"/>
        </w:rPr>
      </w:pPr>
    </w:p>
    <w:p w:rsidR="00371488" w:rsidRDefault="00371488">
      <w:pPr>
        <w:rPr>
          <w:noProof/>
          <w:lang w:eastAsia="pt-BR"/>
        </w:rPr>
      </w:pPr>
    </w:p>
    <w:p w:rsidR="00371488" w:rsidRDefault="00371488">
      <w:pPr>
        <w:rPr>
          <w:noProof/>
          <w:lang w:eastAsia="pt-BR"/>
        </w:rPr>
      </w:pPr>
    </w:p>
    <w:p w:rsidR="00355CD8" w:rsidRDefault="00355CD8">
      <w:pPr>
        <w:rPr>
          <w:noProof/>
          <w:lang w:eastAsia="pt-BR"/>
        </w:rPr>
      </w:pPr>
      <w:r w:rsidRPr="00355CD8">
        <w:rPr>
          <w:noProof/>
          <w:lang w:eastAsia="pt-BR"/>
        </w:rPr>
        <w:drawing>
          <wp:inline distT="0" distB="0" distL="0" distR="0">
            <wp:extent cx="1543050" cy="523875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                                          </w:t>
      </w:r>
      <w:r w:rsidRPr="00355CD8">
        <w:rPr>
          <w:noProof/>
          <w:lang w:eastAsia="pt-BR"/>
        </w:rPr>
        <w:drawing>
          <wp:inline distT="0" distB="0" distL="0" distR="0">
            <wp:extent cx="2143125" cy="695325"/>
            <wp:effectExtent l="19050" t="0" r="9525" b="0"/>
            <wp:docPr id="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CD8" w:rsidRDefault="00355CD8">
      <w:pPr>
        <w:rPr>
          <w:noProof/>
          <w:lang w:eastAsia="pt-BR"/>
        </w:rPr>
      </w:pPr>
    </w:p>
    <w:p w:rsidR="00355CD8" w:rsidRDefault="00355CD8">
      <w:pPr>
        <w:rPr>
          <w:noProof/>
          <w:lang w:eastAsia="pt-BR"/>
        </w:rPr>
      </w:pPr>
      <w:r w:rsidRPr="00355CD8">
        <w:rPr>
          <w:noProof/>
          <w:lang w:eastAsia="pt-BR"/>
        </w:rPr>
        <w:drawing>
          <wp:inline distT="0" distB="0" distL="0" distR="0">
            <wp:extent cx="5400040" cy="1274743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74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CD8" w:rsidRDefault="00355CD8">
      <w:pPr>
        <w:rPr>
          <w:noProof/>
          <w:lang w:eastAsia="pt-BR"/>
        </w:rPr>
      </w:pPr>
    </w:p>
    <w:p w:rsidR="00355CD8" w:rsidRDefault="00355CD8">
      <w:pPr>
        <w:rPr>
          <w:noProof/>
          <w:lang w:eastAsia="pt-BR"/>
        </w:rPr>
      </w:pPr>
    </w:p>
    <w:p w:rsidR="00355CD8" w:rsidRDefault="00355CD8">
      <w:pPr>
        <w:rPr>
          <w:noProof/>
          <w:lang w:eastAsia="pt-BR"/>
        </w:rPr>
      </w:pPr>
    </w:p>
    <w:p w:rsidR="00355CD8" w:rsidRDefault="00355CD8">
      <w:pPr>
        <w:rPr>
          <w:noProof/>
          <w:lang w:eastAsia="pt-BR"/>
        </w:rPr>
      </w:pPr>
    </w:p>
    <w:p w:rsidR="00E220DA" w:rsidRDefault="00E220DA"/>
    <w:p w:rsidR="00502A6F" w:rsidRDefault="00502A6F"/>
    <w:p w:rsidR="00502A6F" w:rsidRDefault="00502A6F"/>
    <w:p w:rsidR="00502A6F" w:rsidRDefault="00502A6F"/>
    <w:sectPr w:rsidR="00502A6F" w:rsidSect="00E220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2A6F"/>
    <w:rsid w:val="00355CD8"/>
    <w:rsid w:val="00371488"/>
    <w:rsid w:val="00502A6F"/>
    <w:rsid w:val="00513631"/>
    <w:rsid w:val="0087258B"/>
    <w:rsid w:val="0094126B"/>
    <w:rsid w:val="00A41713"/>
    <w:rsid w:val="00C4210D"/>
    <w:rsid w:val="00CD334F"/>
    <w:rsid w:val="00E220DA"/>
    <w:rsid w:val="00F8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0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A6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3714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diaonline.com.br/coluna/amyr-klink-na-vitrine-do-conheciment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dcterms:created xsi:type="dcterms:W3CDTF">2019-07-29T12:37:00Z</dcterms:created>
  <dcterms:modified xsi:type="dcterms:W3CDTF">2019-07-29T12:37:00Z</dcterms:modified>
</cp:coreProperties>
</file>